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Normal"/>
        <w:name w:val="Таблица1"/>
        <w:tabOrder w:val="0"/>
        <w:jc w:val="left"/>
        <w:tblInd w:w="0" w:type="dxa"/>
        <w:tblW w:w="10182" w:type="dxa"/>
        <w:pPr>
          <w:widowControl w:val="0"/>
        </w:pPr>
        <w:tblLook w:val="0600" w:firstRow="0" w:lastRow="0" w:firstColumn="0" w:lastColumn="0" w:noHBand="1" w:noVBand="1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4025" cy="71945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extLst>
                              <a:ext uri="sm">
                                <sm:smNativeData xmlns:sm="sm" val="SMDATA_16_T4yva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yAAAAAAAAABAAAAAAAAAAAAAAAAAAAAAAAAAAAAAAAAAAAAywIAAG0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7194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1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bookmarkStart w:id="1" w:name="r09m"/>
            <w:r/>
            <w:r>
              <w:rPr>
                <w:sz w:val="28"/>
                <w:szCs w:val="28"/>
              </w:rPr>
              <w:t xml:space="preserve">   </w:t>
            </w:r>
            <w:r/>
            <w:bookmarkEnd w:id="1"/>
            <w:r/>
            <w:r>
              <w:rPr>
                <w:sz w:val="28"/>
                <w:szCs w:val="28"/>
              </w:rPr>
              <w:t>февраля</w:t>
            </w:r>
          </w:p>
        </w:tc>
        <w:tc>
          <w:tcPr>
            <w:tcW w:w="52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ind w:right="-152"/>
              <w:rPr>
                <w:sz w:val="28"/>
                <w:szCs w:val="28"/>
              </w:rPr>
            </w:pPr>
            <w:r/>
            <w:bookmarkStart w:id="2" w:name="r09y"/>
            <w:r/>
            <w:r>
              <w:rPr>
                <w:sz w:val="28"/>
                <w:szCs w:val="28"/>
              </w:rPr>
              <w:t xml:space="preserve">  26 </w:t>
            </w:r>
            <w:r/>
            <w:bookmarkEnd w:id="2"/>
            <w:r/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rPr>
                <w:sz w:val="28"/>
                <w:szCs w:val="28"/>
              </w:rPr>
            </w:pPr>
            <w:r/>
            <w:bookmarkStart w:id="3" w:name="r10"/>
            <w:r/>
            <w:r>
              <w:rPr>
                <w:sz w:val="28"/>
                <w:szCs w:val="28"/>
              </w:rPr>
              <w:t xml:space="preserve">   </w:t>
            </w:r>
            <w:r/>
            <w:bookmarkEnd w:id="3"/>
            <w:r/>
            <w:r>
              <w:rPr>
                <w:sz w:val="28"/>
                <w:szCs w:val="28"/>
              </w:rPr>
              <w:t>134</w:t>
            </w:r>
          </w:p>
        </w:tc>
        <w:tc>
          <w:tcPr>
            <w:tcW w:w="171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182" w:type="dxa"/>
            <w:gridSpan w:val="10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комиссии по формированию резерва управленческих кадров муниципального образования «Анжеро-Судженский городской округ» </w:t>
      </w:r>
    </w:p>
    <w:p>
      <w:pPr>
        <w:pStyle w:val="para1"/>
        <w:spacing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 работе с ним</w:t>
      </w:r>
    </w:p>
    <w:p>
      <w:r/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формирования резерва управленческих кадров муниципального образования «Анжеро-Судженский городской округ» и осуществлении работы с ним, на основании пункта 1.6. Положения </w:t>
      </w:r>
      <w:r>
        <w:t xml:space="preserve"> </w:t>
      </w:r>
      <w:r>
        <w:rPr>
          <w:sz w:val="28"/>
          <w:szCs w:val="28"/>
        </w:rPr>
        <w:t>о порядке формирования резерва управленческих кадров муниципального образования «Анжеро-Судженский городской округ» и работе с ним, утвержденного постановлением администрации Анжеро-Судженского городского округа от 26.02.2026 №129 «Об утверждении Положения о порядке формирования резерва  управленческих кадров муниципального образования «Анжеро-Судженский городской округ» и работе с ним», постановляю: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формированию резерва управленческих кадров муниципального образования «Анжеро-Судженский городской округ» и работе с ним и утвердить ее состав.</w:t>
      </w:r>
    </w:p>
    <w:p>
      <w:pPr>
        <w:ind w:firstLine="709"/>
        <w: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 Утвердить прилагаемое Положение О комиссии по формированию резерва управленческих кадров муниципального образования «Анжеро-Судженский городской округ»</w:t>
      </w:r>
      <w:r>
        <w:rPr>
          <w:color w:val="000000"/>
          <w:sz w:val="28"/>
          <w:szCs w:val="28"/>
        </w:rPr>
        <w:t xml:space="preserve"> и работе с ним.</w:t>
      </w:r>
      <w:r>
        <w:rPr>
          <w:color w:val="ff0000"/>
          <w:sz w:val="28"/>
          <w:szCs w:val="28"/>
        </w:rPr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утратившими силу </w:t>
      </w:r>
      <w:hyperlink w:anchor="consultantplus://offline/ref=182E1B32BD21DCE46E7E64899332C1D2B4AC8EB33485B5F9BEFB41ED56A2F460w5vFH" w:history="1">
        <w:r>
          <w:rPr>
            <w:sz w:val="28"/>
            <w:szCs w:val="28"/>
          </w:rPr>
          <w:t>постановления</w:t>
        </w:r>
      </w:hyperlink>
      <w:r>
        <w:rPr>
          <w:color w:val="000000"/>
          <w:sz w:val="28"/>
          <w:szCs w:val="28"/>
        </w:rPr>
        <w:t xml:space="preserve"> администрации Анжеро-Судженского городского округа:</w:t>
      </w:r>
      <w:r>
        <w:rPr>
          <w:color w:val="000000"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26.10.2018 №1431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 комиссии по формированию резерва управленческих кадров муниципального образования «Анжеро-Судженский городской округ»;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21.05.2020 №410 «О внесении изменений в постановление администрации Анжеро-Судженского городского округа от 26.10.2018 №1431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 комиссии по формированию резерва управленческих кадров муниципального образования «Анжеро-Судженский городской округ».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 настоящее постановление  в массовой газете Анжеро-Судженского городского округа  «Наш город»  и разместить на официальном сайте Анжеро-Судженского городского округа в информационно-телекоммуникационной сети «Интернет», электронный адрес </w:t>
      </w:r>
      <w:hyperlink r:id="rId8" w:history="1">
        <w:r>
          <w:rPr>
            <w:sz w:val="28"/>
            <w:szCs w:val="28"/>
          </w:rPr>
          <w:t>www.anzhero.ru</w:t>
        </w:r>
      </w:hyperlink>
      <w:r>
        <w:rPr>
          <w:sz w:val="28"/>
          <w:szCs w:val="28"/>
        </w:rPr>
        <w:t xml:space="preserve">. 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официального опубликования.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3405505</wp:posOffset>
            </wp:positionH>
            <wp:positionV relativeFrom="page">
              <wp:posOffset>1413510</wp:posOffset>
            </wp:positionV>
            <wp:extent cx="1394460" cy="1394460"/>
            <wp:effectExtent l="0" t="0" r="0" b="0"/>
            <wp:wrapNone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Pechat"/>
                    <pic:cNvPicPr>
                      <a:picLocks noChangeAspect="1"/>
                      <a:extLst>
                        <a:ext uri="sm">
                          <sm:smNativeData xmlns:sm="sm" val="SMDATA_16_T4yv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NAAAAAIAAAAAAAAAAAAAAAQAAAAAAAADzFAAAAQAAAAAAAACyCAAAlAgAAJQIAAABAAAA8xQAALII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6. Контроль за исполнением настоящего постановления возложить на заместителя главы Анжеро-Судженского городского округа - руководителя аппарата     администрации    Анжеро-Судженского    городского    округа    Т.Н. Петрову.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Д.В. Ажичаков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ind w:left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>
      <w:pPr>
        <w:ind w:left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ind w:left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                   от 27 февраля 2026г. №  134</w:t>
      </w:r>
    </w:p>
    <w:p>
      <w:pPr>
        <w:ind w:firstLine="708"/>
        <w:spacing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формированию резерва управленческих кадров муниципального образования «Анжеро-Судженский городской округ»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работе с ним</w:t>
      </w:r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leNormal"/>
        <w:name w:val="Таблица2"/>
        <w:tabOrder w:val="0"/>
        <w:jc w:val="left"/>
        <w:tblInd w:w="0" w:type="dxa"/>
        <w:tblW w:w="9638" w:type="dxa"/>
        <w:pPr>
          <w:widowControl w:val="0"/>
        </w:pPr>
        <w:tblLook w:val="0600" w:firstRow="0" w:lastRow="0" w:firstColumn="0" w:lastColumn="0" w:noHBand="1" w:noVBand="1"/>
      </w:tblPr>
      <w:tblGrid>
        <w:gridCol w:w="3169"/>
        <w:gridCol w:w="6469"/>
      </w:tblGrid>
      <w:tr>
        <w:trPr>
          <w:tblHeader w:val="0"/>
          <w:cantSplit w:val="0"/>
          <w:trHeight w:val="0" w:hRule="auto"/>
        </w:trPr>
        <w:tc>
          <w:tcPr>
            <w:tcW w:w="3169" w:type="dxa"/>
            <w:shd w:val="none"/>
            <w:tcMar>
              <w:top w:w="0" w:type="dxa"/>
              <w:left w:w="51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Ажичаков Д.В.</w:t>
            </w:r>
          </w:p>
        </w:tc>
        <w:tc>
          <w:tcPr>
            <w:tcW w:w="64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глава городского округа, председатель комиссии;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Т.Н.</w:t>
            </w:r>
          </w:p>
        </w:tc>
        <w:tc>
          <w:tcPr>
            <w:tcW w:w="64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городского округа - руководитель аппарата, заместитель председателя комиссии;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69" w:type="dxa"/>
            <w:shd w:val="none"/>
            <w:tcMar>
              <w:top w:w="0" w:type="dxa"/>
              <w:left w:w="51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Жогаль Е.А.</w:t>
            </w:r>
          </w:p>
        </w:tc>
        <w:tc>
          <w:tcPr>
            <w:tcW w:w="64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городского округа, заместитель председателя комиссии;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Желтобрюхова Л.З.</w:t>
            </w:r>
          </w:p>
        </w:tc>
        <w:tc>
          <w:tcPr>
            <w:tcW w:w="64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организационной и кадровой работы, секретарь комиссии.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9638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widowControl w:val="0"/>
              <w:rPr>
                <w:kern w:val="1"/>
                <w:sz w:val="28"/>
                <w:szCs w:val="28"/>
                <w:lang w:eastAsia="zh-cn"/>
              </w:rPr>
            </w:pPr>
            <w:r>
              <w:rPr>
                <w:kern w:val="1"/>
                <w:sz w:val="28"/>
                <w:szCs w:val="28"/>
                <w:lang w:eastAsia="zh-cn"/>
              </w:rPr>
              <w:t>Овчинникова О.Н.</w:t>
            </w:r>
          </w:p>
        </w:tc>
        <w:tc>
          <w:tcPr>
            <w:tcW w:w="64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Анжеро-Судженского городского;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Чемякина М.Г.</w:t>
            </w:r>
          </w:p>
        </w:tc>
        <w:tc>
          <w:tcPr>
            <w:tcW w:w="64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73112399" protected="1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правового управления;</w:t>
            </w:r>
          </w:p>
        </w:tc>
      </w:tr>
    </w:tbl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Независимые эксперты - представители научных, образовательных и других организаций                                 </w:t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>
      <w:pPr>
        <w:ind w:left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>
      <w:pPr>
        <w:ind w:left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ind w:left="4320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 xml:space="preserve">                   От 27 февраля 2026г. №  134</w:t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по формированию резерва управленческих кадров муниципального образования «Анжеро-Судженский городской округ» </w:t>
      </w:r>
    </w:p>
    <w:p>
      <w:pPr>
        <w:spacing/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и работе с ним.</w:t>
      </w:r>
      <w:r>
        <w:rPr>
          <w:b/>
          <w:color w:val="ff0000"/>
          <w:sz w:val="28"/>
          <w:szCs w:val="28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8"/>
        <w:ind w:firstLine="0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>
      <w:pPr>
        <w:pStyle w:val="para7"/>
        <w:ind w:firstLine="709"/>
        <w:spacing/>
        <w:jc w:val="both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ind w:firstLine="709"/>
        <w:spacing/>
        <w:jc w:val="both"/>
        <w:rPr>
          <w:b w:val="0"/>
          <w:color w:val="auto"/>
          <w:sz w:val="28"/>
          <w:szCs w:val="28"/>
          <w:lang w:eastAsia="ru-ru"/>
        </w:rPr>
      </w:pPr>
      <w:r>
        <w:rPr>
          <w:b w:val="0"/>
          <w:sz w:val="28"/>
          <w:szCs w:val="28"/>
        </w:rPr>
        <w:t>1.1.</w:t>
      </w:r>
      <w:r>
        <w:rPr>
          <w:b w:val="0"/>
          <w:color w:val="auto"/>
          <w:sz w:val="28"/>
          <w:szCs w:val="28"/>
          <w:lang w:eastAsia="ru-ru"/>
        </w:rPr>
        <w:t xml:space="preserve"> Комиссия по формированию резерва управленческих кадров муниципального образования  «Анжеро-Судженский городской округ» и работе с ним (далее - комиссия) образована в целях формирования резерва управленческих кадров муниципального образования  «Анжеро-Судженский городской округ» и его эффективного использования.</w:t>
      </w:r>
      <w:r>
        <w:rPr>
          <w:b w:val="0"/>
          <w:color w:val="auto"/>
          <w:sz w:val="28"/>
          <w:szCs w:val="28"/>
          <w:lang w:eastAsia="ru-ru"/>
        </w:rPr>
      </w:r>
    </w:p>
    <w:p>
      <w:pPr>
        <w:ind w:firstLine="709"/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  <w:t>1.2. Комиссия создается главой городского округа постановлением администрации Анжеро-Судженского городского округа. Она является коллегиальным органом, принимающим решения по вопросам формирования резерва и работе с ним.</w:t>
      </w:r>
    </w:p>
    <w:p>
      <w:pPr>
        <w:ind w:firstLine="709"/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1.3. Комиссия в своей деятельности руководствуется </w:t>
      </w:r>
      <w:hyperlink w:anchor="consultantplus://offline/ref=AF0B4B565962DC913E955D56A2205E4F332DBC64652F7053459678jEu1J" w:history="1">
        <w:r>
          <w:rPr>
            <w:sz w:val="28"/>
            <w:szCs w:val="28"/>
          </w:rPr>
          <w:t>Конституцией</w:t>
        </w:r>
      </w:hyperlink>
      <w:r>
        <w:rPr>
          <w:sz w:val="28"/>
          <w:szCs w:val="28"/>
        </w:rPr>
        <w:t xml:space="preserve"> Российской Федерации; законодательством Российской Федерации и Кемеровской области - Кузбасса; Положением о порядке формирования резерва  управленческих кадров муниципального образования</w:t>
      </w:r>
      <w:r>
        <w:rPr>
          <w:rFonts w:ascii="Basic Sans" w:hAnsi="Basic Sans" w:eastAsia="Basic Sans" w:cs="Basic Sans"/>
          <w:b/>
          <w:sz w:val="36"/>
          <w:szCs w:val="36"/>
        </w:rPr>
        <w:t xml:space="preserve"> </w:t>
      </w:r>
      <w:r>
        <w:rPr>
          <w:sz w:val="28"/>
          <w:szCs w:val="28"/>
        </w:rPr>
        <w:t xml:space="preserve">«Анжеро-Судженский городской округ» и работе с ним, утвержденным постановлением администрации Анжеро-Судженского городского округа от </w:t>
      </w:r>
      <w:r>
        <w:rPr>
          <w:color w:val="000000"/>
          <w:sz w:val="28"/>
          <w:szCs w:val="28"/>
        </w:rPr>
        <w:t>26.02.2026 №1</w:t>
      </w:r>
      <w:r>
        <w:rPr>
          <w:sz w:val="28"/>
          <w:szCs w:val="28"/>
        </w:rPr>
        <w:t>29 «Об утверждении Положения о порядке формирования резерва  управленческих кадров муниципального образования «Анжеро-Судженский городской округ» и работе с ним»; иными нормативными правовыми актами муниципального образования «Анжеро-Судженский городской округ», а также настоящим Положением.</w:t>
      </w:r>
      <w:r>
        <w:rPr>
          <w:sz w:val="28"/>
          <w:szCs w:val="28"/>
        </w:rPr>
      </w:r>
    </w:p>
    <w:p>
      <w:pPr>
        <w:ind w:firstLine="709"/>
        <w:spacing/>
        <w:jc w:val="both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center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2. Состав комиссии и организация ее деятельности</w:t>
      </w:r>
    </w:p>
    <w:p>
      <w:pPr>
        <w:spacing/>
        <w:jc w:val="center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8"/>
        <w:ind w:firstLine="709"/>
        <w:spacing/>
        <w:jc w:val="both"/>
        <w:suppressAutoHyphens/>
        <w:hyphenationLines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Комиссия состоит из председателя комиссии, заместителя (заместителей) председателя комиссии, секретаря комиссии и других членов комиссии. Члены комиссии принимают участие в ее работе на обществ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енных началах.  По решению председателя комиссии на заседание комиссии могут быть приглашены лица, не включенные в ее состав.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para8"/>
        <w:ind w:firstLine="709"/>
        <w:spacing/>
        <w:jc w:val="both"/>
        <w:suppressAutoHyphens/>
        <w:hyphenationLine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состав комиссии обязательно входят в качестве независимых экспертов представители научных, образовательных и других организаций, приглашаемые секретарем комиссии, без указания персональных данных экспертов. </w:t>
      </w:r>
    </w:p>
    <w:p>
      <w:pPr>
        <w:pStyle w:val="para8"/>
        <w:ind w:firstLine="709"/>
        <w:spacing/>
        <w:jc w:val="both"/>
        <w:suppressAutoHyphens/>
        <w:hyphenationLine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Заседание комиссии проводит председатель комиссии, а в его отсутствие - заместитель председателя комиссии. В случае отсутствия секретаря комиссии его функции могут быть возложены решением комиссии на иного члена комиссии по решению председателя.</w:t>
      </w:r>
    </w:p>
    <w:p>
      <w:pPr>
        <w:pStyle w:val="para8"/>
        <w:ind w:firstLine="709"/>
        <w:spacing/>
        <w:jc w:val="both"/>
        <w:suppressAutoHyphens/>
        <w:hyphenationLine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Основной формой работы комиссии являются заседания, проводимые по мере необходимости. Заседание комиссии считается правомочным, если на нем присутствует не менее половины от установленного состава комиссии, в том числе не менее одной третьей от установленного количества независимых экспертов.</w:t>
      </w:r>
    </w:p>
    <w:p>
      <w:pPr>
        <w:pStyle w:val="para8"/>
        <w:ind w:firstLine="709"/>
        <w:spacing/>
        <w:jc w:val="both"/>
        <w:suppressAutoHyphens/>
        <w:hyphenationLine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Решение комиссии принимается открытым простым голосованием присутствующих на заседании членов комиссии. При равенстве голосов право решающего голоса принадлежит председателю комиссии. Голосование происходит в отсутствие кандидатов.</w:t>
      </w:r>
    </w:p>
    <w:p>
      <w:pPr>
        <w:pStyle w:val="para8"/>
        <w:ind w:firstLine="709"/>
        <w:spacing/>
        <w:jc w:val="both"/>
        <w:suppressAutoHyphens/>
        <w:hyphenationLine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Решение комиссии оформляется протоколом, подписанным всеми членами комиссии.</w:t>
      </w:r>
    </w:p>
    <w:p>
      <w:pPr>
        <w:ind w:firstLine="709"/>
        <w:spacing/>
        <w:jc w:val="both"/>
        <w:suppressAutoHyphens/>
        <w:hyphenationLines w:val="0"/>
        <w:widowControl w:val="0"/>
        <w:rPr>
          <w:sz w:val="28"/>
          <w:szCs w:val="28"/>
        </w:rPr>
      </w:pPr>
      <w:r>
        <w:rPr>
          <w:sz w:val="28"/>
          <w:szCs w:val="28"/>
        </w:rPr>
        <w:t>2.7. Организационное и техническое обеспечение деятельности комиссии осуществляет отдел организационной и кадровой работы администрации Анжеро-Судженского городского округа.</w:t>
      </w:r>
    </w:p>
    <w:p>
      <w:pPr>
        <w:ind w:firstLine="709"/>
        <w:spacing/>
        <w:jc w:val="both"/>
        <w:suppressAutoHyphens/>
        <w:hyphenationLines w:val="0"/>
        <w:widowContro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9"/>
        <w:ind w:firstLine="709"/>
        <w: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Полномочия комиссии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 полномочиям комиссии относятся: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Проведение процедуры оценки кандидатов на включение в резерв (далее - кандидат) для дальнейшего формирования резерва.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Проверка достоверности представленных кандидатами сведений.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Принятие решения по результатам проведения конкурса.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Определяет дату, время и место проведения заседания комиссии.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Утверждает повестку заседания комиссии.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Осуществляет руководство заседанием комиссии.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Дает поручения членам комиссии по вопросам, отнесенным к компетенции комиссии.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Осуществляет общий контроль за реализацией принятых комиссией решений.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Секретарь комиссии: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Осуществляет прием и проверку документов.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Информирует в электронном виде членов комиссии о дате, времени, месте проведения и повестке заседания комиссии в 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рабочих дней с момента подписания повестки.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Осуществляет организационно-методическое обеспечение деятельности комиссии.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Оформляет протоколы заседаний комиссии.</w:t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8"/>
        <w:ind w:firstLine="709"/>
        <w:spacing/>
        <w:jc w:val="both"/>
        <w:rPr>
          <w:rFonts w:ascii="Times New Roman" w:hAnsi="Times New Roman" w:cs="Times New Roman"/>
          <w:color w:val="007f00"/>
          <w:sz w:val="28"/>
          <w:szCs w:val="28"/>
        </w:rPr>
      </w:pPr>
      <w:r>
        <w:rPr>
          <w:rFonts w:ascii="Times New Roman" w:hAnsi="Times New Roman" w:cs="Times New Roman"/>
          <w:color w:val="007f00"/>
          <w:sz w:val="28"/>
          <w:szCs w:val="28"/>
        </w:rPr>
      </w:r>
    </w:p>
    <w:p>
      <w:pPr>
        <w:pStyle w:val="para8"/>
        <w:spacing/>
        <w:jc w:val="both"/>
      </w:pPr>
      <w:r/>
    </w:p>
    <w:p>
      <w:pPr>
        <w:pStyle w:val="para8"/>
        <w:spacing/>
        <w:jc w:val="both"/>
      </w:pPr>
      <w:r/>
    </w:p>
    <w:p>
      <w:pPr>
        <w:pStyle w:val="para8"/>
        <w:ind w:firstLine="0"/>
        <w:spacing w:before="200"/>
        <w:jc w:val="both"/>
      </w:pPr>
      <w:r/>
    </w:p>
    <w:p>
      <w:pPr>
        <w:pStyle w:val="para7"/>
        <w:ind w:firstLine="709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</w:r>
    </w:p>
    <w:p>
      <w:pPr>
        <w:pStyle w:val="para7"/>
        <w:rPr>
          <w:b w:val="0"/>
          <w:sz w:val="28"/>
          <w:szCs w:val="28"/>
          <w:u w:color="auto" w:val="single"/>
        </w:rPr>
      </w:pPr>
      <w:r>
        <w:rPr>
          <w:b w:val="0"/>
          <w:sz w:val="28"/>
          <w:szCs w:val="28"/>
          <w:u w:color="auto" w:val="single"/>
        </w:rPr>
        <w:t xml:space="preserve"> </w:t>
      </w:r>
    </w:p>
    <w:p>
      <w:pPr>
        <w:rPr>
          <w:b/>
          <w:color w:val="000000"/>
          <w:sz w:val="28"/>
          <w:szCs w:val="28"/>
          <w:u w:color="auto" w:val="single"/>
        </w:rPr>
      </w:pPr>
      <w:r>
        <w:rPr>
          <w:b/>
          <w:color w:val="000000"/>
          <w:sz w:val="28"/>
          <w:szCs w:val="28"/>
          <w:u w:color="auto" w:val="single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0"/>
      <w:type w:val="nextPage"/>
      <w:pgSz w:h="16838" w:w="11906"/>
      <w:pgMar w:left="1701" w:top="1134" w:right="567" w:bottom="1134" w:header="709" w:footer="0"/>
      <w:paperSrc w:first="0" w:other="0" a="0" b="0"/>
      <w:pgNumType w:fmt="decimal"/>
      <w:titlePg/>
      <w:tmGutter w:val="5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"/>
      <w:spacing/>
      <w:jc w:val="center"/>
    </w:pPr>
    <w:r>
      <w:fldChar w:fldCharType="begin"/>
      <w:instrText xml:space="preserve"> PAGE </w:instrText>
      <w:fldChar w:fldCharType="separate"/>
      <w:t>5</w:t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6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97"/>
      <w:tmLastPosIdx w:val="46"/>
    </w:tmLastPosCaret>
    <w:tmLastPosAnchor>
      <w:tmLastPosPgfIdx w:val="0"/>
      <w:tmLastPosIdx w:val="0"/>
    </w:tmLastPosAnchor>
    <w:tmLastPosTblRect w:left="0" w:top="0" w:right="0" w:bottom="0"/>
  </w:tmLastPos>
  <w:tmAppRevision w:date="1773112399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3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7">
    <w:name w:val="Title"/>
    <w:qFormat/>
    <w:basedOn w:val="para0"/>
    <w:pPr>
      <w:spacing/>
      <w:jc w:val="center"/>
    </w:pPr>
    <w:rPr>
      <w:b/>
      <w:color w:val="000000"/>
      <w:szCs w:val="20"/>
      <w:lang w:eastAsia="zh-cn"/>
    </w:rPr>
  </w:style>
  <w:style w:type="paragraph" w:styleId="para8" w:customStyle="1">
    <w:name w:val="ConsPlusNormal"/>
    <w:qFormat/>
    <w:pPr>
      <w:ind w:firstLine="72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lang w:val="ru-ru" w:eastAsia="ru-ru" w:bidi="ar-sa"/>
    </w:rPr>
  </w:style>
  <w:style w:type="paragraph" w:styleId="para9" w:customStyle="1">
    <w:name w:val="ConsPlusTitle"/>
    <w:qFormat/>
    <w:pPr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/>
      <w:sz w:val="22"/>
      <w:szCs w:val="22"/>
      <w:lang w:bidi="ar-sa"/>
    </w:rPr>
  </w:style>
  <w:style w:type="character" w:styleId="char2" w:customStyle="1">
    <w:name w:val="Верхний колонтитул Знак"/>
    <w:rPr>
      <w:sz w:val="24"/>
      <w:szCs w:val="24"/>
    </w:rPr>
  </w:style>
  <w:style w:type="character" w:styleId="char3" w:customStyle="1">
    <w:name w:val="Текст выноски Знак"/>
    <w:rPr>
      <w:rFonts w:ascii="Tahoma" w:hAnsi="Tahoma" w:cs="Tahoma"/>
      <w:sz w:val="16"/>
      <w:szCs w:val="16"/>
    </w:rPr>
  </w:style>
  <w:style w:type="character" w:styleId="char4" w:customStyle="1">
    <w:name w:val="Название Знак"/>
    <w:rPr>
      <w:b/>
      <w:bCs w:val="0"/>
      <w:color w:val="000000"/>
      <w:sz w:val="24"/>
      <w:lang w:val="ru-ru" w:eastAsia="zh-c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3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zh-cn"/>
    </w:rPr>
  </w:style>
  <w:style w:type="paragraph" w:styleId="para4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  <w:lang w:eastAsia="zh-cn"/>
    </w:rPr>
  </w:style>
  <w:style w:type="paragraph" w:styleId="para7">
    <w:name w:val="Title"/>
    <w:qFormat/>
    <w:basedOn w:val="para0"/>
    <w:pPr>
      <w:spacing/>
      <w:jc w:val="center"/>
    </w:pPr>
    <w:rPr>
      <w:b/>
      <w:color w:val="000000"/>
      <w:szCs w:val="20"/>
      <w:lang w:eastAsia="zh-cn"/>
    </w:rPr>
  </w:style>
  <w:style w:type="paragraph" w:styleId="para8" w:customStyle="1">
    <w:name w:val="ConsPlusNormal"/>
    <w:qFormat/>
    <w:pPr>
      <w:ind w:firstLine="720"/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lang w:val="ru-ru" w:eastAsia="ru-ru" w:bidi="ar-sa"/>
    </w:rPr>
  </w:style>
  <w:style w:type="paragraph" w:styleId="para9" w:customStyle="1">
    <w:name w:val="ConsPlusTitle"/>
    <w:qFormat/>
    <w:pPr>
      <w:widowControl w:val="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Без интервала Знак"/>
    <w:rPr>
      <w:rFonts w:ascii="Calibri" w:hAnsi="Calibri"/>
      <w:sz w:val="22"/>
      <w:szCs w:val="22"/>
      <w:lang w:bidi="ar-sa"/>
    </w:rPr>
  </w:style>
  <w:style w:type="character" w:styleId="char2" w:customStyle="1">
    <w:name w:val="Верхний колонтитул Знак"/>
    <w:rPr>
      <w:sz w:val="24"/>
      <w:szCs w:val="24"/>
    </w:rPr>
  </w:style>
  <w:style w:type="character" w:styleId="char3" w:customStyle="1">
    <w:name w:val="Текст выноски Знак"/>
    <w:rPr>
      <w:rFonts w:ascii="Tahoma" w:hAnsi="Tahoma" w:cs="Tahoma"/>
      <w:sz w:val="16"/>
      <w:szCs w:val="16"/>
    </w:rPr>
  </w:style>
  <w:style w:type="character" w:styleId="char4" w:customStyle="1">
    <w:name w:val="Название Знак"/>
    <w:rPr>
      <w:b/>
      <w:bCs w:val="0"/>
      <w:color w:val="000000"/>
      <w:sz w:val="24"/>
      <w:lang w:val="ru-ru" w:eastAsia="zh-c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http://www.anzhero.ru/" TargetMode="External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/>
  <cp:revision>66</cp:revision>
  <cp:lastPrinted>2026-03-05T10:29:00Z</cp:lastPrinted>
  <dcterms:created xsi:type="dcterms:W3CDTF">2004-10-18T02:50:00Z</dcterms:created>
  <dcterms:modified xsi:type="dcterms:W3CDTF">2026-03-10T03:13:19Z</dcterms:modified>
</cp:coreProperties>
</file>